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umbri sono 4,3 °C più caldi rispetto a quelli nella Champagne</w:t>
      </w:r>
    </w:p>
    <w:p>
      <w:r>
        <w:t>La mappa interattiva censisce oltre 4,3 milioni di vigneti, 3.057 dei quali in Umbria.</w:t>
      </w:r>
    </w:p>
    <w:p>
      <w:r>
        <w:t>World Winery Map, la mappa mondiale del vino lanciata di recente, mappa 655 cantine e 3.057 vigneti dell'Umbria. I vigneti umbri si trovano a un'altitudine media di 293 metri e sono 4,3 °C più caldi durante il periodo vegetativo della vite rispetto a quelli nella Champagne,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umbri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