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des Coteaux du Lyonnais sont 2,7 °C plus frais que ceux situés en Toscane</w:t>
      </w:r>
    </w:p>
    <w:p>
      <w:r>
        <w:t>La carte interactive recense plus de 4,3 millions de vignobles, dont 265 dans les Coteaux du Lyonnais.</w:t>
      </w:r>
    </w:p>
    <w:p>
      <w:r>
        <w:t>World Winery Map, la carte mondiale du vin qui vient d'être lancée, répertorie 13 domaines viticoles et 265 vignobles des Coteaux du Lyonnais. Les vignobles des Coteaux du Lyonnais se situent à une altitude moyenne de 339 mètres et sont, pendant la période de végétation, 2,7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limites officielles pour la France ont comme source les aires géographiques des AOC et AOP publiées par l'INAO (Institut national de l'origine et de la qualité), qui définit 355 zones viticoles pour la France.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des Coteaux du Lyonnais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